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kern w:val="0"/>
          <w:sz w:val="24"/>
        </w:rPr>
        <w:t>別表</w:t>
      </w:r>
      <w:r>
        <w:rPr>
          <w:rFonts w:hint="default" w:ascii="ＭＳ 明朝" w:hAnsi="ＭＳ 明朝"/>
          <w:kern w:val="0"/>
          <w:sz w:val="24"/>
        </w:rPr>
        <w:t>3</w:t>
      </w:r>
    </w:p>
    <w:p>
      <w:pPr>
        <w:pStyle w:val="0"/>
        <w:ind w:leftChars="0" w:firstLine="0" w:firstLineChars="0"/>
        <w:rPr>
          <w:rFonts w:hint="default" w:ascii="ＭＳ 明朝" w:hAnsi="ＭＳ 明朝"/>
          <w:kern w:val="0"/>
          <w:sz w:val="24"/>
        </w:rPr>
      </w:pPr>
      <w:r>
        <w:rPr>
          <w:rFonts w:hint="eastAsia" w:ascii="ＭＳ 明朝" w:hAnsi="ＭＳ 明朝"/>
          <w:kern w:val="0"/>
          <w:sz w:val="24"/>
        </w:rPr>
        <w:t>日常生活用具の種目等</w:t>
      </w:r>
      <w:r>
        <w:rPr>
          <w:rFonts w:hint="default" w:ascii="ＭＳ 明朝" w:hAnsi="ＭＳ 明朝"/>
          <w:kern w:val="0"/>
          <w:sz w:val="24"/>
        </w:rPr>
        <w:t>(</w:t>
      </w:r>
      <w:r>
        <w:rPr>
          <w:rFonts w:hint="eastAsia" w:ascii="ＭＳ 明朝" w:hAnsi="ＭＳ 明朝"/>
          <w:kern w:val="0"/>
          <w:sz w:val="24"/>
        </w:rPr>
        <w:t>難病患者等</w:t>
      </w:r>
      <w:r>
        <w:rPr>
          <w:rFonts w:hint="default" w:ascii="ＭＳ 明朝" w:hAnsi="ＭＳ 明朝"/>
          <w:kern w:val="0"/>
          <w:sz w:val="24"/>
        </w:rPr>
        <w:t>)</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871"/>
        <w:gridCol w:w="1050"/>
        <w:gridCol w:w="1785"/>
        <w:gridCol w:w="1890"/>
        <w:gridCol w:w="1491"/>
        <w:gridCol w:w="1276"/>
      </w:tblGrid>
      <w:tr>
        <w:trPr/>
        <w:tc>
          <w:tcPr>
            <w:tcW w:w="871" w:type="dxa"/>
            <w:vAlign w:val="top"/>
          </w:tcPr>
          <w:p>
            <w:pPr>
              <w:pStyle w:val="0"/>
              <w:jc w:val="center"/>
              <w:rPr>
                <w:rFonts w:hint="default" w:ascii="ＭＳ 明朝" w:hAnsi="ＭＳ 明朝"/>
                <w:kern w:val="0"/>
                <w:sz w:val="24"/>
              </w:rPr>
            </w:pPr>
            <w:r>
              <w:rPr>
                <w:rFonts w:hint="eastAsia" w:ascii="ＭＳ 明朝" w:hAnsi="ＭＳ 明朝"/>
                <w:kern w:val="0"/>
                <w:sz w:val="24"/>
              </w:rPr>
              <w:t>区分</w:t>
            </w:r>
          </w:p>
        </w:tc>
        <w:tc>
          <w:tcPr>
            <w:tcW w:w="1050" w:type="dxa"/>
            <w:vAlign w:val="top"/>
          </w:tcPr>
          <w:p>
            <w:pPr>
              <w:pStyle w:val="0"/>
              <w:jc w:val="center"/>
              <w:rPr>
                <w:rFonts w:hint="default" w:ascii="ＭＳ 明朝" w:hAnsi="ＭＳ 明朝"/>
                <w:kern w:val="0"/>
                <w:sz w:val="24"/>
              </w:rPr>
            </w:pPr>
            <w:r>
              <w:rPr>
                <w:rFonts w:hint="eastAsia" w:ascii="ＭＳ 明朝" w:hAnsi="ＭＳ 明朝"/>
                <w:kern w:val="0"/>
                <w:sz w:val="24"/>
              </w:rPr>
              <w:t>種目</w:t>
            </w:r>
          </w:p>
        </w:tc>
        <w:tc>
          <w:tcPr>
            <w:tcW w:w="1785" w:type="dxa"/>
            <w:vAlign w:val="top"/>
          </w:tcPr>
          <w:p>
            <w:pPr>
              <w:pStyle w:val="0"/>
              <w:jc w:val="center"/>
              <w:rPr>
                <w:rFonts w:hint="default" w:ascii="ＭＳ 明朝" w:hAnsi="ＭＳ 明朝"/>
                <w:kern w:val="0"/>
                <w:sz w:val="24"/>
              </w:rPr>
            </w:pPr>
            <w:r>
              <w:rPr>
                <w:rFonts w:hint="eastAsia" w:ascii="ＭＳ 明朝" w:hAnsi="ＭＳ 明朝"/>
                <w:kern w:val="0"/>
                <w:sz w:val="24"/>
              </w:rPr>
              <w:t>対象者</w:t>
            </w:r>
          </w:p>
        </w:tc>
        <w:tc>
          <w:tcPr>
            <w:tcW w:w="1890" w:type="dxa"/>
            <w:vAlign w:val="top"/>
          </w:tcPr>
          <w:p>
            <w:pPr>
              <w:pStyle w:val="0"/>
              <w:jc w:val="center"/>
              <w:rPr>
                <w:rFonts w:hint="default" w:ascii="ＭＳ 明朝" w:hAnsi="ＭＳ 明朝"/>
                <w:kern w:val="0"/>
                <w:sz w:val="24"/>
              </w:rPr>
            </w:pPr>
            <w:r>
              <w:rPr>
                <w:rFonts w:hint="eastAsia" w:ascii="ＭＳ 明朝" w:hAnsi="ＭＳ 明朝"/>
                <w:kern w:val="0"/>
                <w:sz w:val="24"/>
              </w:rPr>
              <w:t>性能等</w:t>
            </w:r>
          </w:p>
        </w:tc>
        <w:tc>
          <w:tcPr>
            <w:tcW w:w="1491" w:type="dxa"/>
            <w:vAlign w:val="top"/>
          </w:tcPr>
          <w:p>
            <w:pPr>
              <w:pStyle w:val="0"/>
              <w:jc w:val="center"/>
              <w:rPr>
                <w:rFonts w:hint="default" w:ascii="ＭＳ 明朝" w:hAnsi="ＭＳ 明朝"/>
                <w:kern w:val="0"/>
                <w:sz w:val="24"/>
              </w:rPr>
            </w:pPr>
            <w:r>
              <w:rPr>
                <w:rFonts w:hint="eastAsia" w:ascii="ＭＳ 明朝" w:hAnsi="ＭＳ 明朝"/>
                <w:kern w:val="0"/>
                <w:sz w:val="24"/>
              </w:rPr>
              <w:t>基準額</w:t>
            </w:r>
          </w:p>
        </w:tc>
        <w:tc>
          <w:tcPr>
            <w:tcW w:w="1276" w:type="dxa"/>
            <w:vAlign w:val="top"/>
          </w:tcPr>
          <w:p>
            <w:pPr>
              <w:pStyle w:val="0"/>
              <w:jc w:val="center"/>
              <w:rPr>
                <w:rFonts w:hint="default" w:ascii="ＭＳ 明朝" w:hAnsi="ＭＳ 明朝"/>
                <w:kern w:val="0"/>
                <w:sz w:val="24"/>
              </w:rPr>
            </w:pPr>
            <w:r>
              <w:rPr>
                <w:rFonts w:hint="eastAsia" w:ascii="ＭＳ 明朝" w:hAnsi="ＭＳ 明朝"/>
                <w:kern w:val="0"/>
                <w:sz w:val="24"/>
              </w:rPr>
              <w:t>耐用年数</w:t>
            </w:r>
          </w:p>
        </w:tc>
      </w:tr>
      <w:tr>
        <w:trPr/>
        <w:tc>
          <w:tcPr>
            <w:tcW w:w="871" w:type="dxa"/>
            <w:vMerge w:val="restart"/>
            <w:vAlign w:val="top"/>
          </w:tcPr>
          <w:p>
            <w:pPr>
              <w:pStyle w:val="0"/>
              <w:rPr>
                <w:rFonts w:hint="default" w:ascii="ＭＳ 明朝" w:hAnsi="ＭＳ 明朝"/>
                <w:kern w:val="0"/>
                <w:sz w:val="24"/>
              </w:rPr>
            </w:pPr>
            <w:r>
              <w:rPr>
                <w:rFonts w:hint="eastAsia" w:ascii="ＭＳ 明朝" w:hAnsi="ＭＳ 明朝"/>
                <w:kern w:val="0"/>
                <w:sz w:val="24"/>
              </w:rPr>
              <w:t>介護・訓練支援用具</w:t>
            </w: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特殊寝台</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寝たきりの状態にある者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原則として使用者の頭部及び脚部の傾斜角度を個別に調整できる機能を有するもの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154,000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8</w:t>
            </w:r>
            <w:r>
              <w:rPr>
                <w:rFonts w:hint="eastAsia" w:ascii="ＭＳ 明朝" w:hAnsi="ＭＳ 明朝"/>
                <w:kern w:val="0"/>
                <w:sz w:val="24"/>
              </w:rPr>
              <w:t>年</w:t>
            </w:r>
          </w:p>
        </w:tc>
      </w:tr>
      <w:tr>
        <w:trPr/>
        <w:tc>
          <w:tcPr>
            <w:tcW w:w="871" w:type="dxa"/>
            <w:vMerge w:val="continue"/>
            <w:vAlign w:val="top"/>
          </w:tcPr>
          <w:p>
            <w:pPr>
              <w:pStyle w:val="0"/>
              <w:rPr>
                <w:rFonts w:hint="eastAsia"/>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特殊マット</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上記に同じ。</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褥瘡の防止又は失禁等による汚染又は損耗を防止できる機能を有するもの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50,000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5</w:t>
            </w:r>
            <w:r>
              <w:rPr>
                <w:rFonts w:hint="eastAsia" w:ascii="ＭＳ 明朝" w:hAnsi="ＭＳ 明朝"/>
                <w:kern w:val="0"/>
                <w:sz w:val="24"/>
              </w:rPr>
              <w:t>年</w:t>
            </w:r>
          </w:p>
        </w:tc>
      </w:tr>
      <w:tr>
        <w:trPr/>
        <w:tc>
          <w:tcPr>
            <w:tcW w:w="871" w:type="dxa"/>
            <w:vMerge w:val="continue"/>
            <w:vAlign w:val="top"/>
          </w:tcPr>
          <w:p>
            <w:pPr>
              <w:pStyle w:val="0"/>
              <w:rPr>
                <w:rFonts w:hint="eastAsia"/>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特殊尿器</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自力で排尿できない者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尿が自動的に吸引されるもので、難病患者等又は介護者が容易に使用し得るもの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67,000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5</w:t>
            </w:r>
            <w:r>
              <w:rPr>
                <w:rFonts w:hint="eastAsia" w:ascii="ＭＳ 明朝" w:hAnsi="ＭＳ 明朝"/>
                <w:kern w:val="0"/>
                <w:sz w:val="24"/>
              </w:rPr>
              <w:t>年</w:t>
            </w:r>
          </w:p>
        </w:tc>
      </w:tr>
      <w:tr>
        <w:trPr/>
        <w:tc>
          <w:tcPr>
            <w:tcW w:w="871" w:type="dxa"/>
            <w:vMerge w:val="continue"/>
            <w:vAlign w:val="top"/>
          </w:tcPr>
          <w:p>
            <w:pPr>
              <w:pStyle w:val="0"/>
              <w:rPr>
                <w:rFonts w:hint="eastAsia"/>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体位変換器</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寝たきりの状態にある者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介護者が難病患者等の体位を変換させるのに容易に使用し得るもの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15,000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5</w:t>
            </w:r>
            <w:r>
              <w:rPr>
                <w:rFonts w:hint="eastAsia" w:ascii="ＭＳ 明朝" w:hAnsi="ＭＳ 明朝"/>
                <w:kern w:val="0"/>
                <w:sz w:val="24"/>
              </w:rPr>
              <w:t>年</w:t>
            </w:r>
          </w:p>
        </w:tc>
      </w:tr>
      <w:tr>
        <w:trPr>
          <w:trHeight w:val="1202" w:hRule="atLeast"/>
        </w:trPr>
        <w:tc>
          <w:tcPr>
            <w:tcW w:w="871" w:type="dxa"/>
            <w:vMerge w:val="continue"/>
            <w:vAlign w:val="top"/>
          </w:tcPr>
          <w:p>
            <w:pPr>
              <w:pStyle w:val="0"/>
              <w:rPr>
                <w:rFonts w:hint="eastAsia"/>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移動用リフト</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下肢又は体幹機能に障害のある者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介護者が難病患者等を移動させるにあたって、容易に使用し得るもの。ただし、設置に当たり住宅改修を伴うものを除く。</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159,000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4</w:t>
            </w:r>
            <w:r>
              <w:rPr>
                <w:rFonts w:hint="eastAsia" w:ascii="ＭＳ 明朝" w:hAnsi="ＭＳ 明朝"/>
                <w:kern w:val="0"/>
                <w:sz w:val="24"/>
              </w:rPr>
              <w:t>年</w:t>
            </w:r>
          </w:p>
        </w:tc>
      </w:tr>
      <w:tr>
        <w:trPr/>
        <w:tc>
          <w:tcPr>
            <w:tcW w:w="871" w:type="dxa"/>
            <w:vMerge w:val="continue"/>
            <w:vAlign w:val="top"/>
          </w:tcPr>
          <w:p>
            <w:pPr>
              <w:pStyle w:val="0"/>
              <w:rPr>
                <w:rFonts w:hint="eastAsia"/>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訓練用ベッド</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上記に同じ。</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腕又は足の訓練ができる器具を備えたもの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154,000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8</w:t>
            </w:r>
            <w:r>
              <w:rPr>
                <w:rFonts w:hint="eastAsia" w:ascii="ＭＳ 明朝" w:hAnsi="ＭＳ 明朝"/>
                <w:kern w:val="0"/>
                <w:sz w:val="24"/>
              </w:rPr>
              <w:t>年</w:t>
            </w:r>
          </w:p>
        </w:tc>
      </w:tr>
      <w:tr>
        <w:trPr/>
        <w:tc>
          <w:tcPr>
            <w:tcW w:w="871"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4"/>
              </w:rPr>
            </w:pPr>
            <w:r>
              <w:rPr>
                <w:rFonts w:hint="eastAsia" w:ascii="ＭＳ 明朝" w:hAnsi="ＭＳ 明朝"/>
                <w:kern w:val="0"/>
                <w:sz w:val="24"/>
              </w:rPr>
              <w:t>自立生活支援用具</w:t>
            </w: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入浴補助用具</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入浴に介助を要する者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入浴時の移動、座位の保持、浴槽への入水等を補助でき、難病患者等又は介護者が容易に使用し得るもの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90,000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8</w:t>
            </w:r>
            <w:r>
              <w:rPr>
                <w:rFonts w:hint="eastAsia" w:ascii="ＭＳ 明朝" w:hAnsi="ＭＳ 明朝"/>
                <w:kern w:val="0"/>
                <w:sz w:val="24"/>
              </w:rPr>
              <w:t>年</w:t>
            </w:r>
          </w:p>
        </w:tc>
      </w:tr>
      <w:tr>
        <w:trPr/>
        <w:tc>
          <w:tcPr>
            <w:tcW w:w="871" w:type="dxa"/>
            <w:vMerge w:val="continue"/>
            <w:vAlign w:val="top"/>
          </w:tcPr>
          <w:p>
            <w:pPr>
              <w:pStyle w:val="0"/>
              <w:rPr>
                <w:rFonts w:hint="default" w:ascii="ＭＳ 明朝" w:hAnsi="ＭＳ 明朝"/>
                <w:kern w:val="0"/>
                <w:sz w:val="24"/>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便器</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常時介護を要する者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難病患者等が容易に使用し得るもの。ただし、設置に当たり住宅改修を伴うものを除く。</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10,000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8</w:t>
            </w:r>
            <w:r>
              <w:rPr>
                <w:rFonts w:hint="eastAsia" w:ascii="ＭＳ 明朝" w:hAnsi="ＭＳ 明朝"/>
                <w:kern w:val="0"/>
                <w:sz w:val="24"/>
              </w:rPr>
              <w:t>年</w:t>
            </w:r>
          </w:p>
        </w:tc>
      </w:tr>
      <w:tr>
        <w:trPr/>
        <w:tc>
          <w:tcPr>
            <w:tcW w:w="871" w:type="dxa"/>
            <w:vMerge w:val="continue"/>
            <w:vAlign w:val="top"/>
          </w:tcPr>
          <w:p>
            <w:pPr>
              <w:pStyle w:val="0"/>
              <w:rPr>
                <w:rFonts w:hint="default" w:ascii="ＭＳ 明朝" w:hAnsi="ＭＳ 明朝"/>
                <w:kern w:val="0"/>
                <w:sz w:val="24"/>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移動・移乗支援用具</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下肢機能に障害のある者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おおむね次のような機能を有する手すり、スロープ等であること。ただし、設置に当たり住宅改修を伴うものを除く。</w:t>
            </w:r>
          </w:p>
          <w:p>
            <w:pPr>
              <w:pStyle w:val="0"/>
              <w:ind w:left="243" w:hanging="243" w:hangingChars="100"/>
              <w:rPr>
                <w:rFonts w:hint="default" w:ascii="ＭＳ 明朝" w:hAnsi="ＭＳ 明朝"/>
                <w:kern w:val="0"/>
                <w:sz w:val="24"/>
              </w:rPr>
            </w:pPr>
            <w:r>
              <w:rPr>
                <w:rFonts w:hint="eastAsia" w:ascii="ＭＳ 明朝" w:hAnsi="ＭＳ 明朝"/>
                <w:kern w:val="0"/>
                <w:sz w:val="24"/>
              </w:rPr>
              <w:t>ア　難病患者等の身体機能の状態を十分踏まえたものであって、必要な強度と安定性を有するもの</w:t>
            </w:r>
          </w:p>
          <w:p>
            <w:pPr>
              <w:pStyle w:val="0"/>
              <w:ind w:left="243" w:hanging="243" w:hangingChars="100"/>
              <w:rPr>
                <w:rFonts w:hint="default" w:ascii="ＭＳ 明朝" w:hAnsi="ＭＳ 明朝"/>
                <w:kern w:val="0"/>
                <w:sz w:val="24"/>
              </w:rPr>
            </w:pPr>
            <w:r>
              <w:rPr>
                <w:rFonts w:hint="eastAsia" w:ascii="ＭＳ 明朝" w:hAnsi="ＭＳ 明朝"/>
                <w:kern w:val="0"/>
                <w:sz w:val="24"/>
              </w:rPr>
              <w:t>イ　転倒予防、立ち上がり動作の補助、移動動作の補助、段差解消等</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60,000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8</w:t>
            </w:r>
            <w:r>
              <w:rPr>
                <w:rFonts w:hint="eastAsia" w:ascii="ＭＳ 明朝" w:hAnsi="ＭＳ 明朝"/>
                <w:kern w:val="0"/>
                <w:sz w:val="24"/>
              </w:rPr>
              <w:t>年</w:t>
            </w:r>
          </w:p>
        </w:tc>
      </w:tr>
      <w:tr>
        <w:trPr/>
        <w:tc>
          <w:tcPr>
            <w:tcW w:w="871" w:type="dxa"/>
            <w:vMerge w:val="continue"/>
            <w:vAlign w:val="top"/>
          </w:tcPr>
          <w:p>
            <w:pPr>
              <w:pStyle w:val="0"/>
              <w:rPr>
                <w:rFonts w:hint="eastAsia"/>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特殊便器</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上肢機能に障害のある者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温水温風を出し得るもので、難病患者等又は介護者が容易に使用し得るもの。ただし、取替えに当たり住宅改修を伴うものを除く。</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151,200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8</w:t>
            </w:r>
            <w:r>
              <w:rPr>
                <w:rFonts w:hint="eastAsia" w:ascii="ＭＳ 明朝" w:hAnsi="ＭＳ 明朝"/>
                <w:kern w:val="0"/>
                <w:sz w:val="24"/>
              </w:rPr>
              <w:t>年</w:t>
            </w:r>
          </w:p>
        </w:tc>
      </w:tr>
      <w:tr>
        <w:trPr>
          <w:trHeight w:val="2499" w:hRule="atLeast"/>
        </w:trPr>
        <w:tc>
          <w:tcPr>
            <w:tcW w:w="871" w:type="dxa"/>
            <w:vMerge w:val="continue"/>
            <w:vAlign w:val="top"/>
          </w:tcPr>
          <w:p>
            <w:pPr>
              <w:pStyle w:val="0"/>
              <w:rPr>
                <w:rFonts w:hint="default" w:ascii="ＭＳ 明朝" w:hAnsi="ＭＳ 明朝"/>
                <w:kern w:val="0"/>
                <w:sz w:val="24"/>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自動消火器</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火災発生の感知及び避難が著しく困難な者</w:t>
            </w:r>
            <w:r>
              <w:rPr>
                <w:rFonts w:hint="default" w:ascii="ＭＳ 明朝" w:hAnsi="ＭＳ 明朝"/>
                <w:kern w:val="0"/>
                <w:sz w:val="24"/>
              </w:rPr>
              <w:t>(</w:t>
            </w:r>
            <w:r>
              <w:rPr>
                <w:rFonts w:hint="eastAsia" w:ascii="ＭＳ 明朝" w:hAnsi="ＭＳ 明朝"/>
                <w:kern w:val="0"/>
                <w:sz w:val="24"/>
              </w:rPr>
              <w:t>難病患者等のみの世帯及びこれに準ずる世帯に属する者に限る。</w:t>
            </w:r>
            <w:r>
              <w:rPr>
                <w:rFonts w:hint="default" w:ascii="ＭＳ 明朝" w:hAnsi="ＭＳ 明朝"/>
                <w:kern w:val="0"/>
                <w:sz w:val="24"/>
              </w:rPr>
              <w:t>)</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室内温度の異常上昇又は炎の接触で自動的に消火液を噴射し、初期火災を消火し得るもの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28,700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8</w:t>
            </w:r>
            <w:r>
              <w:rPr>
                <w:rFonts w:hint="eastAsia" w:ascii="ＭＳ 明朝" w:hAnsi="ＭＳ 明朝"/>
                <w:kern w:val="0"/>
                <w:sz w:val="24"/>
              </w:rPr>
              <w:t>年</w:t>
            </w:r>
          </w:p>
        </w:tc>
      </w:tr>
      <w:tr>
        <w:trPr>
          <w:cantSplit/>
          <w:trHeight w:val="1134" w:hRule="atLeast"/>
        </w:trPr>
        <w:tc>
          <w:tcPr>
            <w:tcW w:w="871" w:type="dxa"/>
            <w:vMerge w:val="restart"/>
            <w:vAlign w:val="top"/>
          </w:tcPr>
          <w:p>
            <w:pPr>
              <w:pStyle w:val="0"/>
              <w:rPr>
                <w:rFonts w:hint="default" w:ascii="ＭＳ 明朝" w:hAnsi="ＭＳ 明朝"/>
                <w:kern w:val="0"/>
                <w:sz w:val="24"/>
              </w:rPr>
            </w:pPr>
            <w:r>
              <w:rPr>
                <w:rFonts w:hint="eastAsia" w:ascii="ＭＳ 明朝" w:hAnsi="ＭＳ 明朝"/>
                <w:kern w:val="0"/>
                <w:sz w:val="24"/>
              </w:rPr>
              <w:t>在宅療養等支援用具</w:t>
            </w: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ネブライザー</w:t>
            </w:r>
            <w:r>
              <w:rPr>
                <w:rFonts w:hint="default" w:ascii="ＭＳ 明朝" w:hAnsi="ＭＳ 明朝"/>
                <w:kern w:val="0"/>
                <w:sz w:val="24"/>
              </w:rPr>
              <w:t>(</w:t>
            </w:r>
            <w:r>
              <w:rPr>
                <w:rFonts w:hint="eastAsia" w:ascii="ＭＳ 明朝" w:hAnsi="ＭＳ 明朝"/>
                <w:kern w:val="0"/>
                <w:sz w:val="24"/>
              </w:rPr>
              <w:t>吸引器</w:t>
            </w:r>
            <w:r>
              <w:rPr>
                <w:rFonts w:hint="default" w:ascii="ＭＳ 明朝" w:hAnsi="ＭＳ 明朝"/>
                <w:kern w:val="0"/>
                <w:sz w:val="24"/>
              </w:rPr>
              <w:t>)</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呼吸器機能に障害のある者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難病患者等又は介護者が容易に使用し得るもの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36,000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5</w:t>
            </w:r>
            <w:r>
              <w:rPr>
                <w:rFonts w:hint="eastAsia" w:ascii="ＭＳ 明朝" w:hAnsi="ＭＳ 明朝"/>
                <w:kern w:val="0"/>
                <w:sz w:val="24"/>
              </w:rPr>
              <w:t>年</w:t>
            </w:r>
          </w:p>
        </w:tc>
      </w:tr>
      <w:tr>
        <w:trPr/>
        <w:tc>
          <w:tcPr>
            <w:tcW w:w="871" w:type="dxa"/>
            <w:vMerge w:val="continue"/>
            <w:vAlign w:val="top"/>
          </w:tcPr>
          <w:p>
            <w:pPr>
              <w:pStyle w:val="0"/>
              <w:rPr>
                <w:rFonts w:hint="default" w:ascii="ＭＳ 明朝" w:hAnsi="ＭＳ 明朝"/>
                <w:kern w:val="0"/>
                <w:sz w:val="24"/>
              </w:rPr>
            </w:pP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電気式たん吸引器</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上記に同じ。</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上記に同じ。</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56,400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5</w:t>
            </w:r>
            <w:r>
              <w:rPr>
                <w:rFonts w:hint="eastAsia" w:ascii="ＭＳ 明朝" w:hAnsi="ＭＳ 明朝"/>
                <w:kern w:val="0"/>
                <w:sz w:val="24"/>
              </w:rPr>
              <w:t>年</w:t>
            </w:r>
          </w:p>
        </w:tc>
      </w:tr>
      <w:tr>
        <w:trPr/>
        <w:tc>
          <w:tcPr>
            <w:tcW w:w="871" w:type="dxa"/>
            <w:vMerge w:val="continue"/>
            <w:vAlign w:val="top"/>
          </w:tcPr>
          <w:p>
            <w:pPr>
              <w:pStyle w:val="0"/>
              <w:rPr>
                <w:rFonts w:hint="default" w:ascii="ＭＳ 明朝" w:hAnsi="ＭＳ 明朝"/>
                <w:kern w:val="0"/>
                <w:sz w:val="24"/>
              </w:rPr>
            </w:pPr>
          </w:p>
        </w:tc>
        <w:tc>
          <w:tcPr>
            <w:tcW w:w="10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4"/>
              </w:rPr>
            </w:pPr>
            <w:r>
              <w:rPr>
                <w:rFonts w:hint="eastAsia" w:ascii="ＭＳ 明朝" w:hAnsi="ＭＳ 明朝"/>
                <w:kern w:val="0"/>
                <w:sz w:val="24"/>
              </w:rPr>
              <w:t>パルスオキシメーター（動脈血中酸素飽和度測定器）</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人工呼吸器の装着が必要な者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呼吸状態を継続的にモニタリングすることが可能な機能を有し、難病患者等が容易に使用得るもの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157,500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default" w:ascii="ＭＳ 明朝" w:hAnsi="ＭＳ 明朝"/>
                <w:kern w:val="0"/>
                <w:sz w:val="24"/>
              </w:rPr>
              <w:t>5</w:t>
            </w:r>
            <w:r>
              <w:rPr>
                <w:rFonts w:hint="eastAsia" w:ascii="ＭＳ 明朝" w:hAnsi="ＭＳ 明朝"/>
                <w:kern w:val="0"/>
                <w:sz w:val="24"/>
              </w:rPr>
              <w:t>年</w:t>
            </w:r>
          </w:p>
        </w:tc>
      </w:tr>
      <w:tr>
        <w:trPr>
          <w:cantSplit/>
          <w:trHeight w:val="1134" w:hRule="atLeast"/>
        </w:trPr>
        <w:tc>
          <w:tcPr>
            <w:tcW w:w="871" w:type="dxa"/>
            <w:vAlign w:val="top"/>
          </w:tcPr>
          <w:p>
            <w:pPr>
              <w:pStyle w:val="0"/>
              <w:rPr>
                <w:rFonts w:hint="default" w:ascii="ＭＳ 明朝" w:hAnsi="ＭＳ 明朝"/>
                <w:kern w:val="0"/>
                <w:sz w:val="24"/>
              </w:rPr>
            </w:pPr>
            <w:r>
              <w:rPr>
                <w:rFonts w:hint="eastAsia" w:ascii="ＭＳ 明朝" w:hAnsi="ＭＳ 明朝"/>
                <w:kern w:val="0"/>
                <w:sz w:val="24"/>
              </w:rPr>
              <w:t>居宅生活動作補助用具</w:t>
            </w:r>
          </w:p>
        </w:tc>
        <w:tc>
          <w:tcPr>
            <w:tcW w:w="1050" w:type="dxa"/>
            <w:vAlign w:val="top"/>
          </w:tcPr>
          <w:p>
            <w:pPr>
              <w:pStyle w:val="0"/>
              <w:rPr>
                <w:rFonts w:hint="default" w:ascii="ＭＳ 明朝" w:hAnsi="ＭＳ 明朝"/>
                <w:kern w:val="0"/>
                <w:sz w:val="24"/>
              </w:rPr>
            </w:pPr>
            <w:r>
              <w:rPr>
                <w:rFonts w:hint="eastAsia" w:ascii="ＭＳ 明朝" w:hAnsi="ＭＳ 明朝"/>
                <w:kern w:val="0"/>
                <w:sz w:val="24"/>
              </w:rPr>
              <w:t>住宅改修費</w:t>
            </w:r>
          </w:p>
        </w:tc>
        <w:tc>
          <w:tcPr>
            <w:tcW w:w="1785" w:type="dxa"/>
            <w:vAlign w:val="top"/>
          </w:tcPr>
          <w:p>
            <w:pPr>
              <w:pStyle w:val="0"/>
              <w:rPr>
                <w:rFonts w:hint="default" w:ascii="ＭＳ 明朝" w:hAnsi="ＭＳ 明朝"/>
                <w:kern w:val="0"/>
                <w:sz w:val="24"/>
              </w:rPr>
            </w:pPr>
            <w:r>
              <w:rPr>
                <w:rFonts w:hint="eastAsia" w:ascii="ＭＳ 明朝" w:hAnsi="ＭＳ 明朝"/>
                <w:kern w:val="0"/>
                <w:sz w:val="24"/>
              </w:rPr>
              <w:t>下肢又は体幹機能に障害のある者</w:t>
            </w:r>
          </w:p>
        </w:tc>
        <w:tc>
          <w:tcPr>
            <w:tcW w:w="1890" w:type="dxa"/>
            <w:vAlign w:val="top"/>
          </w:tcPr>
          <w:p>
            <w:pPr>
              <w:pStyle w:val="0"/>
              <w:rPr>
                <w:rFonts w:hint="default" w:ascii="ＭＳ 明朝" w:hAnsi="ＭＳ 明朝"/>
                <w:kern w:val="0"/>
                <w:sz w:val="24"/>
              </w:rPr>
            </w:pPr>
            <w:r>
              <w:rPr>
                <w:rFonts w:hint="eastAsia" w:ascii="ＭＳ 明朝" w:hAnsi="ＭＳ 明朝"/>
                <w:kern w:val="0"/>
                <w:sz w:val="24"/>
              </w:rPr>
              <w:t>難病患者等の移動を円滑にする用具で設置に小規模な住宅改修を伴うもの</w:t>
            </w:r>
          </w:p>
        </w:tc>
        <w:tc>
          <w:tcPr>
            <w:tcW w:w="1491" w:type="dxa"/>
            <w:vAlign w:val="top"/>
          </w:tcPr>
          <w:p>
            <w:pPr>
              <w:pStyle w:val="0"/>
              <w:rPr>
                <w:rFonts w:hint="default" w:ascii="ＭＳ 明朝" w:hAnsi="ＭＳ 明朝"/>
                <w:kern w:val="0"/>
                <w:sz w:val="24"/>
              </w:rPr>
            </w:pPr>
            <w:r>
              <w:rPr>
                <w:rFonts w:hint="default" w:ascii="ＭＳ 明朝" w:hAnsi="ＭＳ 明朝"/>
                <w:kern w:val="0"/>
                <w:sz w:val="24"/>
              </w:rPr>
              <w:t>200,000</w:t>
            </w:r>
            <w:r>
              <w:rPr>
                <w:rFonts w:hint="eastAsia" w:ascii="ＭＳ 明朝" w:hAnsi="ＭＳ 明朝"/>
                <w:kern w:val="0"/>
                <w:sz w:val="24"/>
              </w:rPr>
              <w:t>円</w:t>
            </w:r>
          </w:p>
        </w:tc>
        <w:tc>
          <w:tcPr>
            <w:tcW w:w="1276" w:type="dxa"/>
            <w:vAlign w:val="top"/>
          </w:tcPr>
          <w:p>
            <w:pPr>
              <w:pStyle w:val="0"/>
              <w:rPr>
                <w:rFonts w:hint="default" w:ascii="ＭＳ 明朝" w:hAnsi="ＭＳ 明朝"/>
                <w:kern w:val="0"/>
                <w:sz w:val="24"/>
              </w:rPr>
            </w:pPr>
            <w:r>
              <w:rPr>
                <w:rFonts w:hint="eastAsia" w:ascii="ＭＳ 明朝" w:hAnsi="ＭＳ 明朝"/>
                <w:kern w:val="0"/>
                <w:sz w:val="24"/>
              </w:rPr>
              <w:t>―</w:t>
            </w:r>
          </w:p>
        </w:tc>
      </w:tr>
    </w:tbl>
    <w:p>
      <w:pPr>
        <w:pStyle w:val="0"/>
        <w:autoSpaceDE w:val="0"/>
        <w:autoSpaceDN w:val="0"/>
        <w:adjustRightInd w:val="0"/>
        <w:ind w:firstLine="243" w:firstLineChars="100"/>
        <w:jc w:val="left"/>
        <w:rPr>
          <w:rFonts w:hint="default" w:ascii="ＭＳ 明朝" w:hAnsi="ＭＳ 明朝"/>
          <w:sz w:val="24"/>
        </w:rPr>
      </w:pPr>
      <w:r>
        <w:rPr>
          <w:rFonts w:hint="default" w:ascii="ＭＳ 明朝" w:hAnsi="ＭＳ 明朝"/>
          <w:sz w:val="24"/>
        </w:rPr>
        <w:t>(</w:t>
      </w:r>
      <w:r>
        <w:rPr>
          <w:rFonts w:hint="eastAsia" w:ascii="ＭＳ 明朝" w:hAnsi="ＭＳ 明朝"/>
          <w:sz w:val="24"/>
        </w:rPr>
        <w:t>注</w:t>
      </w:r>
      <w:r>
        <w:rPr>
          <w:rFonts w:hint="default" w:ascii="ＭＳ 明朝" w:hAnsi="ＭＳ 明朝"/>
          <w:sz w:val="24"/>
        </w:rPr>
        <w:t>)</w:t>
      </w:r>
      <w:r>
        <w:rPr>
          <w:rFonts w:hint="eastAsia" w:ascii="ＭＳ 明朝" w:hAnsi="ＭＳ 明朝"/>
          <w:sz w:val="24"/>
        </w:rPr>
        <w:t>特殊寝台と訓練用ベットの併給は、しないものとする。</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みどり市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2021-11-25T02:03:00Z</dcterms:created>
  <dcterms:modified xsi:type="dcterms:W3CDTF">2021-11-25T02:03:00Z</dcterms:modified>
  <cp:revision>0</cp:revision>
</cp:coreProperties>
</file>