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default"/>
          <w:color w:val="000000" w:themeColor="text1"/>
        </w:rPr>
      </w:pPr>
      <w:r>
        <w:rPr>
          <w:rFonts w:hint="eastAsia"/>
          <w:color w:val="000000" w:themeColor="text1"/>
        </w:rPr>
        <w:t>様式第</w:t>
      </w:r>
      <w:r>
        <w:rPr>
          <w:rFonts w:hint="eastAsia"/>
          <w:color w:val="000000" w:themeColor="text1"/>
        </w:rPr>
        <w:t>7</w:t>
      </w:r>
      <w:bookmarkStart w:id="0" w:name="_GoBack"/>
      <w:bookmarkEnd w:id="0"/>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3</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・一部改正</w:t>
      </w:r>
      <w:r>
        <w:rPr>
          <w:rFonts w:hint="eastAsia"/>
          <w:color w:val="000000" w:themeColor="text1"/>
        </w:rPr>
        <w:t>)</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1260"/>
        <w:gridCol w:w="216"/>
        <w:gridCol w:w="444"/>
        <w:gridCol w:w="1872"/>
        <w:gridCol w:w="228"/>
        <w:gridCol w:w="1056"/>
        <w:gridCol w:w="242"/>
        <w:gridCol w:w="1299"/>
        <w:gridCol w:w="1298"/>
        <w:gridCol w:w="1299"/>
      </w:tblGrid>
      <w:tr>
        <w:trPr>
          <w:trHeight w:val="1550" w:hRule="atLeast"/>
        </w:trPr>
        <w:tc>
          <w:tcPr>
            <w:tcW w:w="9214" w:type="dxa"/>
            <w:gridSpan w:val="10"/>
            <w:vAlign w:val="center"/>
          </w:tcPr>
          <w:p>
            <w:pPr>
              <w:pStyle w:val="0"/>
              <w:jc w:val="center"/>
              <w:rPr>
                <w:rFonts w:hint="default"/>
                <w:color w:val="000000" w:themeColor="text1"/>
              </w:rPr>
            </w:pPr>
            <w:r>
              <w:rPr>
                <w:rFonts w:hint="eastAsia"/>
                <w:color w:val="000000" w:themeColor="text1"/>
              </w:rPr>
              <w:t>物品売買</w:t>
            </w:r>
            <w:r>
              <w:rPr>
                <w:rFonts w:hint="default"/>
                <w:color w:val="000000" w:themeColor="text1"/>
              </w:rPr>
              <w:t>請書</w:t>
            </w:r>
          </w:p>
          <w:p>
            <w:pPr>
              <w:pStyle w:val="0"/>
              <w:rPr>
                <w:rFonts w:hint="default"/>
                <w:color w:val="000000" w:themeColor="text1"/>
              </w:rPr>
            </w:pPr>
          </w:p>
          <w:p>
            <w:pPr>
              <w:pStyle w:val="0"/>
              <w:wordWrap w:val="0"/>
              <w:jc w:val="right"/>
              <w:rPr>
                <w:rFonts w:hint="default"/>
                <w:color w:val="000000" w:themeColor="text1"/>
              </w:rPr>
            </w:pPr>
            <w:r>
              <w:rPr>
                <w:rFonts w:hint="default"/>
                <w:color w:val="000000" w:themeColor="text1"/>
              </w:rPr>
              <w:t>年　　月　　日</w:t>
            </w:r>
            <w:r>
              <w:rPr>
                <w:rFonts w:hint="eastAsia"/>
                <w:color w:val="000000" w:themeColor="text1"/>
              </w:rPr>
              <w:t>　</w:t>
            </w:r>
          </w:p>
          <w:p>
            <w:pPr>
              <w:pStyle w:val="0"/>
              <w:rPr>
                <w:rFonts w:hint="default"/>
                <w:color w:val="000000" w:themeColor="text1"/>
              </w:rPr>
            </w:pPr>
          </w:p>
          <w:p>
            <w:pPr>
              <w:pStyle w:val="0"/>
              <w:rPr>
                <w:rFonts w:hint="default"/>
                <w:color w:val="000000" w:themeColor="text1"/>
              </w:rPr>
            </w:pPr>
            <w:r>
              <w:rPr>
                <w:rFonts w:hint="default"/>
                <w:color w:val="000000" w:themeColor="text1"/>
              </w:rPr>
              <w:t>　みどり市長　　　　　</w:t>
            </w:r>
            <w:r>
              <w:rPr>
                <w:rFonts w:hint="eastAsia"/>
                <w:color w:val="000000" w:themeColor="text1"/>
              </w:rPr>
              <w:t>　　　　　</w:t>
            </w:r>
            <w:r>
              <w:rPr>
                <w:rFonts w:hint="default"/>
                <w:color w:val="000000" w:themeColor="text1"/>
              </w:rPr>
              <w:t>様</w:t>
            </w:r>
          </w:p>
        </w:tc>
      </w:tr>
      <w:tr>
        <w:trPr>
          <w:trHeight w:val="893" w:hRule="atLeast"/>
        </w:trPr>
        <w:tc>
          <w:tcPr>
            <w:tcW w:w="1920" w:type="dxa"/>
            <w:gridSpan w:val="3"/>
            <w:vAlign w:val="center"/>
          </w:tcPr>
          <w:p>
            <w:pPr>
              <w:pStyle w:val="0"/>
              <w:jc w:val="distribute"/>
              <w:rPr>
                <w:rFonts w:hint="default"/>
                <w:color w:val="000000" w:themeColor="text1"/>
              </w:rPr>
            </w:pPr>
            <w:r>
              <w:rPr>
                <w:rFonts w:hint="default"/>
                <w:color w:val="000000" w:themeColor="text1"/>
              </w:rPr>
              <w:t>受注者</w:t>
            </w:r>
          </w:p>
        </w:tc>
        <w:tc>
          <w:tcPr>
            <w:tcW w:w="7294" w:type="dxa"/>
            <w:gridSpan w:val="7"/>
            <w:vAlign w:val="center"/>
          </w:tcPr>
          <w:p>
            <w:pPr>
              <w:pStyle w:val="0"/>
              <w:rPr>
                <w:rFonts w:hint="default"/>
                <w:color w:val="000000" w:themeColor="text1"/>
              </w:rPr>
            </w:pPr>
            <w:r>
              <w:rPr>
                <w:rFonts w:hint="default"/>
                <w:color w:val="000000" w:themeColor="text1"/>
                <w:spacing w:val="158"/>
              </w:rPr>
              <w:t>所在</w:t>
            </w:r>
            <w:r>
              <w:rPr>
                <w:rFonts w:hint="default"/>
                <w:color w:val="000000" w:themeColor="text1"/>
              </w:rPr>
              <w:t>地</w:t>
            </w:r>
          </w:p>
          <w:p>
            <w:pPr>
              <w:pStyle w:val="0"/>
              <w:rPr>
                <w:rFonts w:hint="default"/>
                <w:color w:val="000000" w:themeColor="text1"/>
              </w:rPr>
            </w:pPr>
            <w:r>
              <w:rPr>
                <w:rFonts w:hint="default"/>
                <w:color w:val="000000" w:themeColor="text1"/>
              </w:rPr>
              <w:t>商号又は名称</w:t>
            </w:r>
          </w:p>
          <w:p>
            <w:pPr>
              <w:pStyle w:val="0"/>
              <w:rPr>
                <w:rFonts w:hint="default"/>
                <w:color w:val="000000" w:themeColor="text1"/>
              </w:rPr>
            </w:pPr>
            <w:r>
              <w:rPr>
                <w:rFonts w:hint="default"/>
                <w:color w:val="000000" w:themeColor="text1"/>
              </w:rPr>
              <w:t>代表者の氏名　</w:t>
            </w:r>
            <w:r>
              <w:rPr>
                <w:rFonts w:hint="eastAsia"/>
                <w:color w:val="000000" w:themeColor="text1"/>
              </w:rPr>
              <w:t>　　　　　　　　　　　　</w:t>
            </w:r>
            <w:r>
              <w:rPr>
                <w:rFonts w:hint="default"/>
                <w:color w:val="000000" w:themeColor="text1"/>
              </w:rPr>
              <w:t>　　　　　　印</w:t>
            </w:r>
          </w:p>
        </w:tc>
      </w:tr>
      <w:tr>
        <w:trPr>
          <w:trHeight w:val="480" w:hRule="atLeast"/>
        </w:trPr>
        <w:tc>
          <w:tcPr>
            <w:tcW w:w="1476" w:type="dxa"/>
            <w:gridSpan w:val="2"/>
            <w:vAlign w:val="center"/>
          </w:tcPr>
          <w:p>
            <w:pPr>
              <w:pStyle w:val="0"/>
              <w:jc w:val="center"/>
              <w:rPr>
                <w:rFonts w:hint="default"/>
                <w:color w:val="000000" w:themeColor="text1"/>
              </w:rPr>
            </w:pPr>
            <w:r>
              <w:rPr>
                <w:rFonts w:hint="default"/>
                <w:color w:val="000000" w:themeColor="text1"/>
              </w:rPr>
              <w:t>物品名称</w:t>
            </w:r>
          </w:p>
        </w:tc>
        <w:tc>
          <w:tcPr>
            <w:tcW w:w="2544" w:type="dxa"/>
            <w:gridSpan w:val="3"/>
            <w:vAlign w:val="center"/>
          </w:tcPr>
          <w:p>
            <w:pPr>
              <w:pStyle w:val="0"/>
              <w:jc w:val="center"/>
              <w:rPr>
                <w:rFonts w:hint="default"/>
                <w:color w:val="000000" w:themeColor="text1"/>
              </w:rPr>
            </w:pPr>
            <w:r>
              <w:rPr>
                <w:rFonts w:hint="default"/>
                <w:color w:val="000000" w:themeColor="text1"/>
              </w:rPr>
              <w:t>品質・形状・寸法</w:t>
            </w:r>
          </w:p>
        </w:tc>
        <w:tc>
          <w:tcPr>
            <w:tcW w:w="1298" w:type="dxa"/>
            <w:gridSpan w:val="2"/>
            <w:vAlign w:val="center"/>
          </w:tcPr>
          <w:p>
            <w:pPr>
              <w:pStyle w:val="0"/>
              <w:jc w:val="center"/>
              <w:rPr>
                <w:rFonts w:hint="default"/>
                <w:color w:val="000000" w:themeColor="text1"/>
              </w:rPr>
            </w:pPr>
            <w:r>
              <w:rPr>
                <w:rFonts w:hint="default"/>
                <w:color w:val="000000" w:themeColor="text1"/>
              </w:rPr>
              <w:t>単位</w:t>
            </w:r>
          </w:p>
        </w:tc>
        <w:tc>
          <w:tcPr>
            <w:tcW w:w="1299" w:type="dxa"/>
            <w:vAlign w:val="center"/>
          </w:tcPr>
          <w:p>
            <w:pPr>
              <w:pStyle w:val="0"/>
              <w:jc w:val="center"/>
              <w:rPr>
                <w:rFonts w:hint="default"/>
                <w:color w:val="000000" w:themeColor="text1"/>
              </w:rPr>
            </w:pPr>
            <w:r>
              <w:rPr>
                <w:rFonts w:hint="default"/>
                <w:color w:val="000000" w:themeColor="text1"/>
              </w:rPr>
              <w:t>数量</w:t>
            </w:r>
          </w:p>
        </w:tc>
        <w:tc>
          <w:tcPr>
            <w:tcW w:w="1298" w:type="dxa"/>
            <w:vAlign w:val="center"/>
          </w:tcPr>
          <w:p>
            <w:pPr>
              <w:pStyle w:val="0"/>
              <w:jc w:val="center"/>
              <w:rPr>
                <w:rFonts w:hint="default"/>
                <w:color w:val="000000" w:themeColor="text1"/>
              </w:rPr>
            </w:pPr>
            <w:r>
              <w:rPr>
                <w:rFonts w:hint="default"/>
                <w:color w:val="000000" w:themeColor="text1"/>
              </w:rPr>
              <w:t>単価</w:t>
            </w:r>
          </w:p>
        </w:tc>
        <w:tc>
          <w:tcPr>
            <w:tcW w:w="1299" w:type="dxa"/>
            <w:vAlign w:val="center"/>
          </w:tcPr>
          <w:p>
            <w:pPr>
              <w:pStyle w:val="0"/>
              <w:jc w:val="center"/>
              <w:rPr>
                <w:rFonts w:hint="default"/>
                <w:color w:val="000000" w:themeColor="text1"/>
              </w:rPr>
            </w:pPr>
            <w:r>
              <w:rPr>
                <w:rFonts w:hint="default"/>
                <w:color w:val="000000" w:themeColor="text1"/>
              </w:rPr>
              <w:t>金額</w:t>
            </w: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top"/>
          </w:tcPr>
          <w:p>
            <w:pPr>
              <w:pStyle w:val="0"/>
              <w:jc w:val="right"/>
              <w:rPr>
                <w:rFonts w:hint="default"/>
                <w:color w:val="000000" w:themeColor="text1"/>
              </w:rPr>
            </w:pPr>
            <w:r>
              <w:rPr>
                <w:rFonts w:hint="default"/>
                <w:color w:val="000000" w:themeColor="text1"/>
              </w:rPr>
              <w:t>円</w:t>
            </w:r>
          </w:p>
        </w:tc>
        <w:tc>
          <w:tcPr>
            <w:tcW w:w="1299" w:type="dxa"/>
            <w:vAlign w:val="top"/>
          </w:tcPr>
          <w:p>
            <w:pPr>
              <w:pStyle w:val="0"/>
              <w:jc w:val="right"/>
              <w:rPr>
                <w:rFonts w:hint="default"/>
                <w:color w:val="000000" w:themeColor="text1"/>
              </w:rPr>
            </w:pPr>
            <w:r>
              <w:rPr>
                <w:rFonts w:hint="default"/>
                <w:color w:val="000000" w:themeColor="text1"/>
              </w:rPr>
              <w:t>円</w:t>
            </w: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476" w:type="dxa"/>
            <w:gridSpan w:val="2"/>
            <w:vAlign w:val="center"/>
          </w:tcPr>
          <w:p>
            <w:pPr>
              <w:pStyle w:val="0"/>
              <w:rPr>
                <w:rFonts w:hint="default"/>
                <w:color w:val="000000" w:themeColor="text1"/>
              </w:rPr>
            </w:pPr>
          </w:p>
        </w:tc>
        <w:tc>
          <w:tcPr>
            <w:tcW w:w="2544" w:type="dxa"/>
            <w:gridSpan w:val="3"/>
            <w:vAlign w:val="center"/>
          </w:tcPr>
          <w:p>
            <w:pPr>
              <w:pStyle w:val="0"/>
              <w:rPr>
                <w:rFonts w:hint="default"/>
                <w:color w:val="000000" w:themeColor="text1"/>
              </w:rPr>
            </w:pPr>
          </w:p>
        </w:tc>
        <w:tc>
          <w:tcPr>
            <w:tcW w:w="1298" w:type="dxa"/>
            <w:gridSpan w:val="2"/>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c>
          <w:tcPr>
            <w:tcW w:w="1298" w:type="dxa"/>
            <w:vAlign w:val="center"/>
          </w:tcPr>
          <w:p>
            <w:pPr>
              <w:pStyle w:val="0"/>
              <w:rPr>
                <w:rFonts w:hint="default"/>
                <w:color w:val="000000" w:themeColor="text1"/>
              </w:rPr>
            </w:pPr>
          </w:p>
        </w:tc>
        <w:tc>
          <w:tcPr>
            <w:tcW w:w="1299" w:type="dxa"/>
            <w:vAlign w:val="center"/>
          </w:tcPr>
          <w:p>
            <w:pPr>
              <w:pStyle w:val="0"/>
              <w:rPr>
                <w:rFonts w:hint="default"/>
                <w:color w:val="000000" w:themeColor="text1"/>
              </w:rPr>
            </w:pPr>
          </w:p>
        </w:tc>
      </w:tr>
      <w:tr>
        <w:trPr>
          <w:trHeight w:val="425" w:hRule="atLeast"/>
        </w:trPr>
        <w:tc>
          <w:tcPr>
            <w:tcW w:w="1260" w:type="dxa"/>
            <w:vAlign w:val="center"/>
          </w:tcPr>
          <w:p>
            <w:pPr>
              <w:pStyle w:val="0"/>
              <w:jc w:val="distribute"/>
              <w:rPr>
                <w:rFonts w:hint="default"/>
                <w:color w:val="000000" w:themeColor="text1"/>
              </w:rPr>
            </w:pPr>
            <w:r>
              <w:rPr>
                <w:rFonts w:hint="default"/>
                <w:color w:val="000000" w:themeColor="text1"/>
              </w:rPr>
              <w:t>納入期日</w:t>
            </w:r>
          </w:p>
        </w:tc>
        <w:tc>
          <w:tcPr>
            <w:tcW w:w="2532" w:type="dxa"/>
            <w:gridSpan w:val="3"/>
            <w:vAlign w:val="center"/>
          </w:tcPr>
          <w:p>
            <w:pPr>
              <w:pStyle w:val="0"/>
              <w:rPr>
                <w:rFonts w:hint="default"/>
                <w:color w:val="000000" w:themeColor="text1"/>
              </w:rPr>
            </w:pPr>
          </w:p>
        </w:tc>
        <w:tc>
          <w:tcPr>
            <w:tcW w:w="1284" w:type="dxa"/>
            <w:gridSpan w:val="2"/>
            <w:vAlign w:val="center"/>
          </w:tcPr>
          <w:p>
            <w:pPr>
              <w:pStyle w:val="0"/>
              <w:jc w:val="distribute"/>
              <w:rPr>
                <w:rFonts w:hint="default"/>
                <w:color w:val="000000" w:themeColor="text1"/>
              </w:rPr>
            </w:pPr>
            <w:r>
              <w:rPr>
                <w:rFonts w:hint="default"/>
                <w:color w:val="000000" w:themeColor="text1"/>
              </w:rPr>
              <w:t>納入場所</w:t>
            </w:r>
          </w:p>
        </w:tc>
        <w:tc>
          <w:tcPr>
            <w:tcW w:w="4138" w:type="dxa"/>
            <w:gridSpan w:val="4"/>
            <w:vAlign w:val="center"/>
          </w:tcPr>
          <w:p>
            <w:pPr>
              <w:pStyle w:val="0"/>
              <w:rPr>
                <w:rFonts w:hint="default"/>
                <w:color w:val="000000" w:themeColor="text1"/>
              </w:rPr>
            </w:pPr>
          </w:p>
        </w:tc>
      </w:tr>
      <w:tr>
        <w:trPr>
          <w:trHeight w:val="425" w:hRule="atLeast"/>
        </w:trPr>
        <w:tc>
          <w:tcPr>
            <w:tcW w:w="1260" w:type="dxa"/>
            <w:vAlign w:val="center"/>
          </w:tcPr>
          <w:p>
            <w:pPr>
              <w:pStyle w:val="0"/>
              <w:rPr>
                <w:rFonts w:hint="default"/>
                <w:color w:val="000000" w:themeColor="text1"/>
              </w:rPr>
            </w:pPr>
            <w:r>
              <w:rPr>
                <w:rFonts w:hint="eastAsia"/>
                <w:color w:val="000000" w:themeColor="text1"/>
                <w:spacing w:val="1"/>
                <w:w w:val="95"/>
                <w:fitText w:val="1150" w:id="1"/>
              </w:rPr>
              <w:t>契約代金</w:t>
            </w:r>
            <w:r>
              <w:rPr>
                <w:rFonts w:hint="eastAsia"/>
                <w:color w:val="000000" w:themeColor="text1"/>
                <w:spacing w:val="3"/>
                <w:w w:val="95"/>
                <w:fitText w:val="1150" w:id="1"/>
              </w:rPr>
              <w:t>額</w:t>
            </w:r>
          </w:p>
        </w:tc>
        <w:tc>
          <w:tcPr>
            <w:tcW w:w="7954" w:type="dxa"/>
            <w:gridSpan w:val="9"/>
            <w:vAlign w:val="center"/>
          </w:tcPr>
          <w:p>
            <w:pPr>
              <w:pStyle w:val="0"/>
              <w:rPr>
                <w:rFonts w:hint="default"/>
                <w:color w:val="000000" w:themeColor="text1"/>
              </w:rPr>
            </w:pPr>
            <w:r>
              <w:rPr>
                <w:rFonts w:hint="eastAsia"/>
                <w:color w:val="000000" w:themeColor="text1"/>
              </w:rPr>
              <w:t>　　　　　　　　　　　　円</w:t>
            </w:r>
            <w:r>
              <w:rPr>
                <w:rFonts w:hint="eastAsia"/>
                <w:color w:val="000000" w:themeColor="text1"/>
              </w:rPr>
              <w:t>(</w:t>
            </w:r>
            <w:r>
              <w:rPr>
                <w:rFonts w:hint="eastAsia"/>
                <w:color w:val="000000" w:themeColor="text1"/>
              </w:rPr>
              <w:t>うち取引に係る消費税　　　　　　　円</w:t>
            </w:r>
            <w:r>
              <w:rPr>
                <w:rFonts w:hint="eastAsia"/>
                <w:color w:val="000000" w:themeColor="text1"/>
              </w:rPr>
              <w:t>)</w:t>
            </w:r>
          </w:p>
        </w:tc>
      </w:tr>
      <w:tr>
        <w:trPr>
          <w:trHeight w:val="4805" w:hRule="atLeast"/>
        </w:trPr>
        <w:tc>
          <w:tcPr>
            <w:tcW w:w="9214" w:type="dxa"/>
            <w:gridSpan w:val="10"/>
            <w:vAlign w:val="center"/>
          </w:tcPr>
          <w:p>
            <w:pPr>
              <w:pStyle w:val="0"/>
              <w:spacing w:line="280" w:lineRule="exact"/>
              <w:ind w:left="210" w:hanging="210"/>
              <w:rPr>
                <w:rFonts w:hint="default"/>
                <w:color w:val="000000" w:themeColor="text1"/>
              </w:rPr>
            </w:pPr>
            <w:r>
              <w:rPr>
                <w:rFonts w:hint="default"/>
                <w:color w:val="000000" w:themeColor="text1"/>
              </w:rPr>
              <w:t>　上記の物品を次の事項により納入することをお請けいたします。</w:t>
            </w:r>
          </w:p>
          <w:p>
            <w:pPr>
              <w:pStyle w:val="0"/>
              <w:spacing w:line="280" w:lineRule="exact"/>
              <w:ind w:left="210" w:hanging="210"/>
              <w:rPr>
                <w:rFonts w:hint="default"/>
                <w:color w:val="000000" w:themeColor="text1"/>
              </w:rPr>
            </w:pPr>
            <w:r>
              <w:rPr>
                <w:rFonts w:hint="eastAsia"/>
                <w:color w:val="000000" w:themeColor="text1"/>
              </w:rPr>
              <w:t>1</w:t>
            </w:r>
            <w:r>
              <w:rPr>
                <w:rFonts w:hint="default"/>
                <w:color w:val="000000" w:themeColor="text1"/>
              </w:rPr>
              <w:t>　頭書の物品を頭書の納入期日内に仕様書その他の条件等に基づき納入すること。</w:t>
            </w:r>
          </w:p>
          <w:p>
            <w:pPr>
              <w:pStyle w:val="0"/>
              <w:spacing w:line="280" w:lineRule="exact"/>
              <w:ind w:left="210" w:hanging="210"/>
              <w:rPr>
                <w:rFonts w:hint="default"/>
                <w:color w:val="000000" w:themeColor="text1"/>
              </w:rPr>
            </w:pPr>
            <w:r>
              <w:rPr>
                <w:rFonts w:hint="eastAsia"/>
                <w:color w:val="000000" w:themeColor="text1"/>
              </w:rPr>
              <w:t>2</w:t>
            </w:r>
            <w:r>
              <w:rPr>
                <w:rFonts w:hint="default"/>
                <w:color w:val="000000" w:themeColor="text1"/>
              </w:rPr>
              <w:t>　契約代金は、物品を納入し、市の検査に合格した後に請求すること。</w:t>
            </w:r>
          </w:p>
          <w:p>
            <w:pPr>
              <w:pStyle w:val="0"/>
              <w:spacing w:line="280" w:lineRule="exact"/>
              <w:ind w:left="210" w:hanging="210"/>
              <w:rPr>
                <w:rFonts w:hint="default"/>
                <w:color w:val="000000" w:themeColor="text1"/>
              </w:rPr>
            </w:pPr>
            <w:r>
              <w:rPr>
                <w:rFonts w:hint="eastAsia"/>
                <w:color w:val="000000" w:themeColor="text1"/>
              </w:rPr>
              <w:t>3</w:t>
            </w:r>
            <w:r>
              <w:rPr>
                <w:rFonts w:hint="default"/>
                <w:color w:val="000000" w:themeColor="text1"/>
              </w:rPr>
              <w:t>　この契約によって生じる権利又は義務を貴職の承諾を得た場合を除き</w:t>
            </w:r>
            <w:r>
              <w:rPr>
                <w:rFonts w:hint="eastAsia"/>
                <w:color w:val="000000" w:themeColor="text1"/>
              </w:rPr>
              <w:t>、</w:t>
            </w:r>
            <w:r>
              <w:rPr>
                <w:rFonts w:hint="default"/>
                <w:color w:val="000000" w:themeColor="text1"/>
              </w:rPr>
              <w:t>第三者に譲渡し、又は継承しないこと。ただし、信用保証協会及び中小企業信用保険法施行令</w:t>
            </w:r>
            <w:r>
              <w:rPr>
                <w:rFonts w:hint="eastAsia"/>
                <w:color w:val="000000" w:themeColor="text1"/>
              </w:rPr>
              <w:t>(</w:t>
            </w:r>
            <w:r>
              <w:rPr>
                <w:rFonts w:hint="default"/>
                <w:color w:val="000000" w:themeColor="text1"/>
              </w:rPr>
              <w:t>昭和</w:t>
            </w:r>
            <w:r>
              <w:rPr>
                <w:rFonts w:hint="default"/>
                <w:color w:val="000000" w:themeColor="text1"/>
              </w:rPr>
              <w:t>25</w:t>
            </w:r>
            <w:r>
              <w:rPr>
                <w:rFonts w:hint="default"/>
                <w:color w:val="000000" w:themeColor="text1"/>
              </w:rPr>
              <w:t>年</w:t>
            </w:r>
            <w:r>
              <w:rPr>
                <w:rFonts w:hint="eastAsia"/>
                <w:color w:val="000000" w:themeColor="text1"/>
              </w:rPr>
              <w:t>政令</w:t>
            </w:r>
            <w:r>
              <w:rPr>
                <w:rFonts w:hint="default"/>
                <w:color w:val="000000" w:themeColor="text1"/>
              </w:rPr>
              <w:t>第</w:t>
            </w:r>
            <w:r>
              <w:rPr>
                <w:rFonts w:hint="default"/>
                <w:color w:val="000000" w:themeColor="text1"/>
              </w:rPr>
              <w:t>350</w:t>
            </w:r>
            <w:r>
              <w:rPr>
                <w:rFonts w:hint="default"/>
                <w:color w:val="000000" w:themeColor="text1"/>
              </w:rPr>
              <w:t>号</w:t>
            </w:r>
            <w:r>
              <w:rPr>
                <w:rFonts w:hint="eastAsia"/>
                <w:color w:val="000000" w:themeColor="text1"/>
              </w:rPr>
              <w:t>)</w:t>
            </w:r>
            <w:r>
              <w:rPr>
                <w:rFonts w:hint="default"/>
                <w:color w:val="000000" w:themeColor="text1"/>
              </w:rPr>
              <w:t>第</w:t>
            </w:r>
            <w:r>
              <w:rPr>
                <w:rFonts w:hint="eastAsia"/>
                <w:color w:val="000000" w:themeColor="text1"/>
              </w:rPr>
              <w:t>1</w:t>
            </w:r>
            <w:r>
              <w:rPr>
                <w:rFonts w:hint="default"/>
                <w:color w:val="000000" w:themeColor="text1"/>
              </w:rPr>
              <w:t>条の</w:t>
            </w:r>
            <w:r>
              <w:rPr>
                <w:rFonts w:hint="eastAsia"/>
                <w:color w:val="000000" w:themeColor="text1"/>
              </w:rPr>
              <w:t>3</w:t>
            </w:r>
            <w:r>
              <w:rPr>
                <w:rFonts w:hint="default"/>
                <w:color w:val="000000" w:themeColor="text1"/>
              </w:rPr>
              <w:t>に規定する金融機関に対して売掛債権を譲渡するときは、この限りでないものとする。</w:t>
            </w:r>
          </w:p>
          <w:p>
            <w:pPr>
              <w:pStyle w:val="0"/>
              <w:spacing w:line="280" w:lineRule="exact"/>
              <w:ind w:left="210" w:hanging="210"/>
              <w:rPr>
                <w:rFonts w:hint="default"/>
                <w:color w:val="000000" w:themeColor="text1"/>
              </w:rPr>
            </w:pPr>
            <w:r>
              <w:rPr>
                <w:rFonts w:hint="eastAsia"/>
                <w:color w:val="000000" w:themeColor="text1"/>
              </w:rPr>
              <w:t>4</w:t>
            </w:r>
            <w:r>
              <w:rPr>
                <w:rFonts w:hint="default"/>
                <w:color w:val="000000" w:themeColor="text1"/>
              </w:rPr>
              <w:t>　市の検査の結果、納入物品の全部</w:t>
            </w:r>
            <w:r>
              <w:rPr>
                <w:rFonts w:hint="eastAsia"/>
                <w:color w:val="000000" w:themeColor="text1"/>
              </w:rPr>
              <w:t>若しくは</w:t>
            </w:r>
            <w:r>
              <w:rPr>
                <w:rFonts w:hint="default"/>
                <w:color w:val="000000" w:themeColor="text1"/>
              </w:rPr>
              <w:t>一部が契約内容に違反し、</w:t>
            </w:r>
            <w:r>
              <w:rPr>
                <w:rFonts w:hint="eastAsia"/>
                <w:color w:val="000000" w:themeColor="text1"/>
              </w:rPr>
              <w:t>又は</w:t>
            </w:r>
            <w:r>
              <w:rPr>
                <w:rFonts w:hint="default"/>
                <w:color w:val="000000" w:themeColor="text1"/>
              </w:rPr>
              <w:t>不当であることが発見され、修繕又は交換の請求があったときは、これに従うこと。この場合において、契約代金の増額又は納入期日の延長の請求はできないこと。</w:t>
            </w:r>
          </w:p>
          <w:p>
            <w:pPr>
              <w:pStyle w:val="0"/>
              <w:spacing w:line="280" w:lineRule="exact"/>
              <w:ind w:left="210" w:hanging="210"/>
              <w:rPr>
                <w:rFonts w:hint="default"/>
                <w:color w:val="000000" w:themeColor="text1"/>
              </w:rPr>
            </w:pPr>
            <w:r>
              <w:rPr>
                <w:rFonts w:hint="eastAsia"/>
                <w:color w:val="000000" w:themeColor="text1"/>
              </w:rPr>
              <w:t>5</w:t>
            </w:r>
            <w:r>
              <w:rPr>
                <w:rFonts w:hint="default"/>
                <w:color w:val="000000" w:themeColor="text1"/>
              </w:rPr>
              <w:t>　受注者の責</w:t>
            </w:r>
            <w:r>
              <w:rPr>
                <w:rFonts w:hint="eastAsia"/>
                <w:color w:val="000000" w:themeColor="text1"/>
              </w:rPr>
              <w:t>め</w:t>
            </w:r>
            <w:r>
              <w:rPr>
                <w:rFonts w:hint="default"/>
                <w:color w:val="000000" w:themeColor="text1"/>
              </w:rPr>
              <w:t>に帰する理由によって、頭書の納入期日までに物品を納入することができないときは、納入期日到来の日の翌日から納入日までの日数に応じ、未納部分の契約金相当額に対し、政府契約の支払遅延防止等に関する法律</w:t>
            </w:r>
            <w:r>
              <w:rPr>
                <w:rFonts w:hint="eastAsia"/>
                <w:color w:val="000000" w:themeColor="text1"/>
              </w:rPr>
              <w:t>(</w:t>
            </w:r>
            <w:r>
              <w:rPr>
                <w:rFonts w:hint="default"/>
                <w:color w:val="000000" w:themeColor="text1"/>
              </w:rPr>
              <w:t>昭和</w:t>
            </w:r>
            <w:r>
              <w:rPr>
                <w:rFonts w:hint="default"/>
                <w:color w:val="000000" w:themeColor="text1"/>
              </w:rPr>
              <w:t>24</w:t>
            </w:r>
            <w:r>
              <w:rPr>
                <w:rFonts w:hint="default"/>
                <w:color w:val="000000" w:themeColor="text1"/>
              </w:rPr>
              <w:t>年法律第</w:t>
            </w:r>
            <w:r>
              <w:rPr>
                <w:rFonts w:hint="default"/>
                <w:color w:val="000000" w:themeColor="text1"/>
              </w:rPr>
              <w:t>256</w:t>
            </w:r>
            <w:r>
              <w:rPr>
                <w:rFonts w:hint="default"/>
                <w:color w:val="000000" w:themeColor="text1"/>
              </w:rPr>
              <w:t>号</w:t>
            </w:r>
            <w:r>
              <w:rPr>
                <w:rFonts w:hint="eastAsia"/>
                <w:color w:val="000000" w:themeColor="text1"/>
              </w:rPr>
              <w:t>)</w:t>
            </w:r>
            <w:r>
              <w:rPr>
                <w:rFonts w:hint="default"/>
                <w:color w:val="000000" w:themeColor="text1"/>
              </w:rPr>
              <w:t>第</w:t>
            </w:r>
            <w:r>
              <w:rPr>
                <w:rFonts w:hint="eastAsia"/>
                <w:color w:val="000000" w:themeColor="text1"/>
              </w:rPr>
              <w:t>8</w:t>
            </w:r>
            <w:r>
              <w:rPr>
                <w:rFonts w:hint="default"/>
                <w:color w:val="000000" w:themeColor="text1"/>
              </w:rPr>
              <w:t>条第</w:t>
            </w:r>
            <w:r>
              <w:rPr>
                <w:rFonts w:hint="eastAsia"/>
                <w:color w:val="000000" w:themeColor="text1"/>
              </w:rPr>
              <w:t>1</w:t>
            </w:r>
            <w:r>
              <w:rPr>
                <w:rFonts w:hint="default"/>
                <w:color w:val="000000" w:themeColor="text1"/>
              </w:rPr>
              <w:t>項の規定に基づく率を乗じて計算した額の遅延利息を支払うこと。</w:t>
            </w:r>
          </w:p>
          <w:p>
            <w:pPr>
              <w:pStyle w:val="0"/>
              <w:spacing w:line="280" w:lineRule="exact"/>
              <w:ind w:left="210" w:hanging="210"/>
              <w:rPr>
                <w:rFonts w:hint="default"/>
                <w:color w:val="000000" w:themeColor="text1"/>
              </w:rPr>
            </w:pPr>
            <w:r>
              <w:rPr>
                <w:rFonts w:hint="eastAsia"/>
                <w:color w:val="000000" w:themeColor="text1"/>
              </w:rPr>
              <w:t>6</w:t>
            </w:r>
            <w:r>
              <w:rPr>
                <w:rFonts w:hint="default"/>
                <w:color w:val="000000" w:themeColor="text1"/>
              </w:rPr>
              <w:t>　受注者の故意又は過失により納入期日まで又は納入期日後相当期間内に、契約履行の見込みがないと認められるときは、契約を解除されることがあること。この場合</w:t>
            </w:r>
            <w:r>
              <w:rPr>
                <w:rFonts w:hint="eastAsia"/>
                <w:color w:val="000000" w:themeColor="text1"/>
              </w:rPr>
              <w:t>において</w:t>
            </w:r>
            <w:r>
              <w:rPr>
                <w:rFonts w:hint="default"/>
                <w:color w:val="000000" w:themeColor="text1"/>
              </w:rPr>
              <w:t>、受注者は、契約金額の</w:t>
            </w:r>
            <w:r>
              <w:rPr>
                <w:rFonts w:hint="default"/>
                <w:color w:val="000000" w:themeColor="text1"/>
              </w:rPr>
              <w:t>100</w:t>
            </w:r>
            <w:r>
              <w:rPr>
                <w:rFonts w:hint="default"/>
                <w:color w:val="000000" w:themeColor="text1"/>
              </w:rPr>
              <w:t>分の</w:t>
            </w:r>
            <w:r>
              <w:rPr>
                <w:rFonts w:hint="default"/>
                <w:color w:val="000000" w:themeColor="text1"/>
              </w:rPr>
              <w:t>10</w:t>
            </w:r>
            <w:r>
              <w:rPr>
                <w:rFonts w:hint="default"/>
                <w:color w:val="000000" w:themeColor="text1"/>
              </w:rPr>
              <w:t>に相当する額の違約金を支払うこと。</w:t>
            </w:r>
          </w:p>
          <w:p>
            <w:pPr>
              <w:pStyle w:val="0"/>
              <w:spacing w:line="280" w:lineRule="exact"/>
              <w:ind w:left="210" w:hanging="210"/>
              <w:rPr>
                <w:rFonts w:hint="default"/>
                <w:color w:val="000000" w:themeColor="text1"/>
              </w:rPr>
            </w:pPr>
            <w:r>
              <w:rPr>
                <w:rFonts w:hint="eastAsia"/>
                <w:color w:val="000000" w:themeColor="text1"/>
              </w:rPr>
              <w:t>7</w:t>
            </w:r>
            <w:r>
              <w:rPr>
                <w:rFonts w:hint="default"/>
                <w:color w:val="000000" w:themeColor="text1"/>
              </w:rPr>
              <w:t>　本書に定めのない事項については、必要に応じ当事者協議の</w:t>
            </w:r>
            <w:r>
              <w:rPr>
                <w:rFonts w:hint="eastAsia"/>
                <w:color w:val="000000" w:themeColor="text1"/>
              </w:rPr>
              <w:t>上、</w:t>
            </w:r>
            <w:r>
              <w:rPr>
                <w:rFonts w:hint="default"/>
                <w:color w:val="000000" w:themeColor="text1"/>
              </w:rPr>
              <w:t>定めるものとする。</w:t>
            </w:r>
          </w:p>
        </w:tc>
      </w:tr>
    </w:tbl>
    <w:p>
      <w:pPr>
        <w:pStyle w:val="0"/>
        <w:widowControl w:val="1"/>
        <w:jc w:val="left"/>
        <w:rPr>
          <w:rFonts w:hint="default"/>
          <w:color w:val="000000" w:themeColor="text1"/>
        </w:rPr>
      </w:pPr>
      <w:r>
        <w:rPr>
          <w:rFonts w:hint="eastAsia"/>
          <w:color w:val="000000" w:themeColor="text1"/>
        </w:rPr>
        <w:t>（うち取引に係る消費税　　　円）は、受注者が課税業者である場合に記入すること。</w:t>
      </w:r>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817</TotalTime>
  <Pages>9</Pages>
  <Words>96</Words>
  <Characters>3824</Characters>
  <Application>JUST Note</Application>
  <Lines>1159</Lines>
  <Paragraphs>222</Paragraphs>
  <Company>みどり市役所</Company>
  <CharactersWithSpaces>5167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2025-10-08T07:14:49Z</dcterms:modified>
  <cp:revision>68</cp:revision>
</cp:coreProperties>
</file>