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一般廃棄物処理業業務廃止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一部・全部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みどり市長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08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168"/>
        <w:gridCol w:w="612"/>
      </w:tblGrid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" w:right="-100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法人にあっては、その所在地、名称及び代表者の氏名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日付け第　　　号で許可を受けた一般廃棄物処理業の業務を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一部・全部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廃止したので、みどり市廃棄物の処理及び清掃に関する条例施行規則第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項の規定により、次のとおり届け出ます。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7"/>
        <w:gridCol w:w="7129"/>
      </w:tblGrid>
      <w:tr>
        <w:trPr>
          <w:cantSplit/>
          <w:trHeight w:val="3194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廃止し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た事業の内容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96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一部・全部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7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※許可証を添付すること。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45</Words>
  <Characters>260</Characters>
  <Application>JUST Note</Application>
  <Lines>0</Lines>
  <Paragraphs>0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2006-03-16T15:50:00Z</cp:lastPrinted>
  <dcterms:created xsi:type="dcterms:W3CDTF">2011-06-24T17:05:00Z</dcterms:created>
  <dcterms:modified xsi:type="dcterms:W3CDTF">2021-12-17T04:51:13Z</dcterms:modified>
  <cp:revision>6</cp:revision>
</cp:coreProperties>
</file>